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F4" w:rsidRPr="00A21D64" w:rsidRDefault="002C6F79">
      <w:pPr>
        <w:pStyle w:val="Titolo"/>
        <w:spacing w:before="240" w:after="120"/>
        <w:rPr>
          <w:rFonts w:ascii="Cambria" w:hAnsi="Cambria"/>
          <w:bCs w:val="0"/>
          <w:color w:val="2A6099"/>
          <w:sz w:val="44"/>
          <w:szCs w:val="44"/>
        </w:rPr>
      </w:pPr>
      <w:r w:rsidRPr="00A21D64">
        <w:rPr>
          <w:rFonts w:ascii="Cambria" w:hAnsi="Cambria"/>
          <w:bCs w:val="0"/>
          <w:color w:val="2A6099"/>
          <w:sz w:val="44"/>
          <w:szCs w:val="44"/>
        </w:rPr>
        <w:t xml:space="preserve">PALEO2020 (versione 5.9): </w:t>
      </w:r>
    </w:p>
    <w:p w:rsidR="00BB79F4" w:rsidRPr="00A21D64" w:rsidRDefault="002C6F79">
      <w:pPr>
        <w:pStyle w:val="Titolo"/>
        <w:spacing w:before="240" w:after="120"/>
        <w:rPr>
          <w:rFonts w:ascii="Cambria" w:hAnsi="Cambria"/>
          <w:bCs w:val="0"/>
          <w:color w:val="2A6099"/>
          <w:sz w:val="44"/>
          <w:szCs w:val="44"/>
        </w:rPr>
      </w:pPr>
      <w:r w:rsidRPr="00A21D64">
        <w:rPr>
          <w:rFonts w:ascii="Cambria" w:hAnsi="Cambria"/>
          <w:bCs w:val="0"/>
          <w:color w:val="2A6099"/>
          <w:sz w:val="44"/>
          <w:szCs w:val="44"/>
        </w:rPr>
        <w:t>PRINCIPALI MODIFICHE</w:t>
      </w:r>
    </w:p>
    <w:sdt>
      <w:sdtPr>
        <w:rPr>
          <w:b w:val="0"/>
          <w:bCs w:val="0"/>
          <w:sz w:val="22"/>
          <w:szCs w:val="22"/>
        </w:rPr>
        <w:id w:val="-1297447460"/>
        <w:docPartObj>
          <w:docPartGallery w:val="Table of Contents"/>
          <w:docPartUnique/>
        </w:docPartObj>
      </w:sdtPr>
      <w:sdtEndPr/>
      <w:sdtContent>
        <w:p w:rsidR="00BB79F4" w:rsidRPr="005F1936" w:rsidRDefault="002C6F79">
          <w:pPr>
            <w:pStyle w:val="Titoloindicefonti"/>
            <w:rPr>
              <w:i/>
              <w:color w:val="002060"/>
            </w:rPr>
          </w:pPr>
          <w:r w:rsidRPr="005F1936">
            <w:rPr>
              <w:i/>
              <w:color w:val="002060"/>
            </w:rPr>
            <w:t>INDICE</w:t>
          </w:r>
        </w:p>
        <w:p w:rsidR="00B52F99" w:rsidRDefault="002C6F79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r>
            <w:fldChar w:fldCharType="begin"/>
          </w:r>
          <w:r>
            <w:rPr>
              <w:rStyle w:val="Saltoaindice"/>
              <w:webHidden/>
            </w:rPr>
            <w:instrText>TOC \z \o "1-3" \u \h</w:instrText>
          </w:r>
          <w:r>
            <w:rPr>
              <w:rStyle w:val="Saltoaindice"/>
            </w:rPr>
            <w:fldChar w:fldCharType="separate"/>
          </w:r>
          <w:hyperlink w:anchor="_Toc149211640" w:history="1">
            <w:r w:rsidR="00B52F99" w:rsidRPr="001F2FD1">
              <w:rPr>
                <w:rStyle w:val="Collegamentoipertestuale"/>
                <w:noProof/>
              </w:rPr>
              <w:t>1 – Report numero registrazioni ed altri dati per utente</w:t>
            </w:r>
            <w:r w:rsidR="00B52F99">
              <w:rPr>
                <w:noProof/>
                <w:webHidden/>
              </w:rPr>
              <w:tab/>
            </w:r>
            <w:r w:rsidR="00B52F99">
              <w:rPr>
                <w:noProof/>
                <w:webHidden/>
              </w:rPr>
              <w:fldChar w:fldCharType="begin"/>
            </w:r>
            <w:r w:rsidR="00B52F99">
              <w:rPr>
                <w:noProof/>
                <w:webHidden/>
              </w:rPr>
              <w:instrText xml:space="preserve"> PAGEREF _Toc149211640 \h </w:instrText>
            </w:r>
            <w:r w:rsidR="00B52F99">
              <w:rPr>
                <w:noProof/>
                <w:webHidden/>
              </w:rPr>
            </w:r>
            <w:r w:rsidR="00B52F99">
              <w:rPr>
                <w:noProof/>
                <w:webHidden/>
              </w:rPr>
              <w:fldChar w:fldCharType="separate"/>
            </w:r>
            <w:r w:rsidR="00B52F99">
              <w:rPr>
                <w:noProof/>
                <w:webHidden/>
              </w:rPr>
              <w:t>1</w:t>
            </w:r>
            <w:r w:rsidR="00B52F99">
              <w:rPr>
                <w:noProof/>
                <w:webHidden/>
              </w:rPr>
              <w:fldChar w:fldCharType="end"/>
            </w:r>
          </w:hyperlink>
        </w:p>
        <w:p w:rsidR="00B52F99" w:rsidRDefault="00B52F99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49211641" w:history="1">
            <w:r w:rsidRPr="001F2FD1">
              <w:rPr>
                <w:rStyle w:val="Collegamentoipertestuale"/>
                <w:noProof/>
              </w:rPr>
              <w:t>2 – Gestione dei file compressi con formati non ammessi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_Toc149211641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2F99" w:rsidRDefault="00B52F99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49211642" w:history="1">
            <w:r w:rsidRPr="001F2FD1">
              <w:rPr>
                <w:rStyle w:val="Collegamentoipertestuale"/>
                <w:noProof/>
              </w:rPr>
              <w:t>3 – Gestione dei messaggi di posta elettronica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_Toc149211642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2F99" w:rsidRDefault="00B52F99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49211643" w:history="1">
            <w:r w:rsidRPr="001F2FD1">
              <w:rPr>
                <w:rStyle w:val="Collegamentoipertestuale"/>
                <w:noProof/>
              </w:rPr>
              <w:t>4 – Report delle comunicazioni da assegnare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_Toc149211643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2F99" w:rsidRDefault="00B52F99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49211644" w:history="1">
            <w:r w:rsidRPr="001F2FD1">
              <w:rPr>
                <w:rStyle w:val="Collegamentoipertestuale"/>
                <w:noProof/>
              </w:rPr>
              <w:t>5 – Indirizzo e mail- Pec nei criteri di ricerca di un protocollo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_Toc149211644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2F99" w:rsidRDefault="00B52F99">
          <w:pPr>
            <w:pStyle w:val="Somma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149211645" w:history="1">
            <w:r w:rsidRPr="001F2FD1">
              <w:rPr>
                <w:rStyle w:val="Collegamentoipertestuale"/>
                <w:noProof/>
              </w:rPr>
              <w:t>6 – Aggiornamento strumento per la 'Gestione Abilitazione utenti UO'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_Toc149211645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2F99" w:rsidRDefault="002C6F79" w:rsidP="00B52F99">
          <w:pPr>
            <w:pStyle w:val="Sommario1"/>
            <w:tabs>
              <w:tab w:val="right" w:leader="dot" w:pos="9638"/>
            </w:tabs>
          </w:pPr>
          <w:r>
            <w:rPr>
              <w:rStyle w:val="Saltoaindice"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bookmarkStart w:id="1" w:name="_Toc149211640" w:displacedByCustomXml="prev"/>
    <w:bookmarkStart w:id="2" w:name="_Toc140066828" w:displacedByCustomXml="prev"/>
    <w:p w:rsidR="00BB79F4" w:rsidRDefault="002C6F79">
      <w:pPr>
        <w:pStyle w:val="Titolo1"/>
        <w:numPr>
          <w:ilvl w:val="0"/>
          <w:numId w:val="3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>1 –</w:t>
      </w:r>
      <w:bookmarkEnd w:id="2"/>
      <w:r w:rsidR="00A21D64">
        <w:rPr>
          <w:color w:val="2E74B5" w:themeColor="accent1" w:themeShade="BF"/>
        </w:rPr>
        <w:t xml:space="preserve"> </w:t>
      </w:r>
      <w:r>
        <w:rPr>
          <w:color w:val="2E74B5" w:themeColor="accent1" w:themeShade="BF"/>
        </w:rPr>
        <w:t>Report numero registrazioni ed altri dati per utente</w:t>
      </w:r>
      <w:bookmarkEnd w:id="1"/>
      <w:r>
        <w:rPr>
          <w:color w:val="2E74B5" w:themeColor="accent1" w:themeShade="BF"/>
        </w:rPr>
        <w:t xml:space="preserve"> </w:t>
      </w:r>
    </w:p>
    <w:p w:rsidR="00BB79F4" w:rsidRDefault="002C6F79">
      <w:pPr>
        <w:pStyle w:val="Paragrafoelenco"/>
        <w:numPr>
          <w:ilvl w:val="0"/>
          <w:numId w:val="4"/>
        </w:numPr>
        <w:jc w:val="both"/>
      </w:pPr>
      <w:proofErr w:type="gramStart"/>
      <w:r>
        <w:t>E’</w:t>
      </w:r>
      <w:proofErr w:type="gramEnd"/>
      <w:r>
        <w:t xml:space="preserve"> stato introdotto un nuovo report che consente di verificare le attività svolte dal singolo utente in un determinato periodo di tempo. </w:t>
      </w:r>
    </w:p>
    <w:p w:rsidR="00BB79F4" w:rsidRDefault="006B4B6A">
      <w:pPr>
        <w:pStyle w:val="Paragrafoelenco"/>
        <w:jc w:val="both"/>
      </w:pPr>
      <w:r>
        <w:rPr>
          <w:noProof/>
          <w:lang w:eastAsia="it-IT"/>
        </w:rPr>
        <w:drawing>
          <wp:inline distT="0" distB="0" distL="0" distR="0">
            <wp:extent cx="1380877" cy="235260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93" cy="237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9F4" w:rsidRDefault="006B4B6A" w:rsidP="00A21D64">
      <w:pPr>
        <w:jc w:val="both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D</w:t>
      </w:r>
      <w:r w:rsidR="002C6F79">
        <w:rPr>
          <w:rFonts w:ascii="Cambria" w:hAnsi="Cambria"/>
          <w:szCs w:val="28"/>
        </w:rPr>
        <w:t xml:space="preserve">al </w:t>
      </w:r>
      <w:proofErr w:type="spellStart"/>
      <w:r w:rsidR="002C6F79">
        <w:rPr>
          <w:rFonts w:ascii="Cambria" w:hAnsi="Cambria"/>
          <w:szCs w:val="28"/>
        </w:rPr>
        <w:t>menù</w:t>
      </w:r>
      <w:proofErr w:type="spellEnd"/>
      <w:r w:rsidR="002C6F79">
        <w:rPr>
          <w:rFonts w:ascii="Cambria" w:hAnsi="Cambria"/>
          <w:szCs w:val="28"/>
        </w:rPr>
        <w:t xml:space="preserve"> principale “Report” selezionando la voce “Conteggi protocolli </w:t>
      </w:r>
      <w:proofErr w:type="spellStart"/>
      <w:r w:rsidR="002C6F79">
        <w:rPr>
          <w:rFonts w:ascii="Cambria" w:hAnsi="Cambria"/>
          <w:szCs w:val="28"/>
        </w:rPr>
        <w:t>ecc</w:t>
      </w:r>
      <w:proofErr w:type="spellEnd"/>
      <w:r w:rsidR="002C6F79">
        <w:rPr>
          <w:rFonts w:ascii="Cambria" w:hAnsi="Cambria"/>
          <w:szCs w:val="28"/>
        </w:rPr>
        <w:t xml:space="preserve">…” si apre </w:t>
      </w:r>
      <w:proofErr w:type="gramStart"/>
      <w:r w:rsidR="002C6F79">
        <w:rPr>
          <w:rFonts w:ascii="Cambria" w:hAnsi="Cambria"/>
          <w:szCs w:val="28"/>
        </w:rPr>
        <w:t>una  finestra</w:t>
      </w:r>
      <w:proofErr w:type="gramEnd"/>
      <w:r w:rsidR="002C6F79">
        <w:rPr>
          <w:rFonts w:ascii="Cambria" w:hAnsi="Cambria"/>
          <w:szCs w:val="28"/>
        </w:rPr>
        <w:t xml:space="preserve"> da dove è possibile selezionare l’intervallo di tempo ( data inizio e data di fine) a cui si è interessati; il sistema  inoltre consente di scegliere il formato in cui si vuole visualizzare il report  se .PDF o Excel tramite i pulsanti posti in basso a sinistra della pagina.</w:t>
      </w:r>
    </w:p>
    <w:p w:rsidR="006B4B6A" w:rsidRDefault="006B4B6A" w:rsidP="00A21D64">
      <w:pPr>
        <w:jc w:val="both"/>
        <w:rPr>
          <w:rFonts w:ascii="Cambria" w:hAnsi="Cambria"/>
          <w:szCs w:val="28"/>
        </w:rPr>
      </w:pPr>
      <w:r>
        <w:rPr>
          <w:rFonts w:ascii="Cambria" w:hAnsi="Cambria"/>
          <w:noProof/>
          <w:szCs w:val="28"/>
          <w:lang w:eastAsia="it-IT"/>
        </w:rPr>
        <w:drawing>
          <wp:inline distT="0" distB="0" distL="0" distR="0" wp14:anchorId="2844FF48" wp14:editId="7A02480B">
            <wp:extent cx="5996592" cy="1590675"/>
            <wp:effectExtent l="0" t="0" r="4445" b="0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971" cy="159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6A" w:rsidRDefault="006B4B6A" w:rsidP="006B4B6A">
      <w:pPr>
        <w:pStyle w:val="Corpotesto"/>
      </w:pPr>
      <w:r>
        <w:br w:type="page"/>
      </w:r>
    </w:p>
    <w:p w:rsidR="00BB79F4" w:rsidRDefault="002C6F79" w:rsidP="00A21D64">
      <w:pPr>
        <w:numPr>
          <w:ilvl w:val="0"/>
          <w:numId w:val="3"/>
        </w:numPr>
        <w:jc w:val="both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lastRenderedPageBreak/>
        <w:t xml:space="preserve">Premendo il tasto “esegui” verrà generato un report che contiene le seguenti informazioni: </w:t>
      </w:r>
    </w:p>
    <w:p w:rsidR="00BB79F4" w:rsidRDefault="002C6F79" w:rsidP="006B4B6A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Cambria" w:hAnsi="Cambria"/>
          <w:szCs w:val="28"/>
        </w:rPr>
        <w:t>1. Numero documenti</w:t>
      </w:r>
    </w:p>
    <w:p w:rsidR="00BB79F4" w:rsidRDefault="002C6F79" w:rsidP="006B4B6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2. Numero protocolli</w:t>
      </w:r>
    </w:p>
    <w:p w:rsidR="00BB79F4" w:rsidRDefault="002C6F79" w:rsidP="006B4B6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3. Numero protocolli ingresso</w:t>
      </w:r>
    </w:p>
    <w:p w:rsidR="00BB79F4" w:rsidRDefault="002C6F79" w:rsidP="006B4B6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4. Numero protocolli uscita</w:t>
      </w:r>
    </w:p>
    <w:p w:rsidR="00BB79F4" w:rsidRDefault="002C6F79" w:rsidP="006B4B6A">
      <w:pPr>
        <w:spacing w:after="0" w:line="240" w:lineRule="auto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5. Trasmissioni</w:t>
      </w:r>
    </w:p>
    <w:p w:rsidR="00BB79F4" w:rsidRDefault="002C6F79" w:rsidP="00A21D64">
      <w:pPr>
        <w:numPr>
          <w:ilvl w:val="0"/>
          <w:numId w:val="3"/>
        </w:numPr>
        <w:jc w:val="both"/>
      </w:pPr>
      <w:r>
        <w:rPr>
          <w:rFonts w:ascii="Cambria" w:hAnsi="Cambria"/>
          <w:szCs w:val="28"/>
        </w:rPr>
        <w:t>Se l’utente è abilitato con più ruoli all’interno di diverse Unità Operative le informazioni riportate</w:t>
      </w:r>
      <w:r w:rsidR="00A21D64">
        <w:rPr>
          <w:rFonts w:ascii="Cambria" w:hAnsi="Cambria"/>
          <w:szCs w:val="28"/>
        </w:rPr>
        <w:t xml:space="preserve"> </w:t>
      </w:r>
      <w:r>
        <w:rPr>
          <w:rFonts w:ascii="Cambria" w:hAnsi="Cambria"/>
          <w:szCs w:val="28"/>
        </w:rPr>
        <w:t xml:space="preserve">verranno suddivise tra i vari ruoli ricoperti nelle diverse U.O.; nel report sono riportati anche i ruoli su cui l’utente era abilitato in passato. </w:t>
      </w:r>
    </w:p>
    <w:p w:rsidR="00BB79F4" w:rsidRDefault="002C6F79">
      <w:pPr>
        <w:numPr>
          <w:ilvl w:val="0"/>
          <w:numId w:val="3"/>
        </w:numPr>
        <w:rPr>
          <w:rFonts w:ascii="Cambria" w:hAnsi="Cambria"/>
          <w:szCs w:val="28"/>
        </w:rPr>
      </w:pPr>
      <w:r>
        <w:rPr>
          <w:rFonts w:ascii="Cambria" w:hAnsi="Cambria"/>
          <w:noProof/>
          <w:szCs w:val="28"/>
          <w:lang w:eastAsia="it-IT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303657</wp:posOffset>
            </wp:positionH>
            <wp:positionV relativeFrom="paragraph">
              <wp:posOffset>7620</wp:posOffset>
            </wp:positionV>
            <wp:extent cx="5300980" cy="2274570"/>
            <wp:effectExtent l="0" t="0" r="0" b="0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98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9F4" w:rsidRDefault="00BB79F4">
      <w:pPr>
        <w:pStyle w:val="Titolo1"/>
        <w:numPr>
          <w:ilvl w:val="0"/>
          <w:numId w:val="3"/>
        </w:numPr>
        <w:rPr>
          <w:color w:val="2E74B5" w:themeColor="accent1" w:themeShade="BF"/>
        </w:rPr>
      </w:pPr>
    </w:p>
    <w:p w:rsidR="00BB79F4" w:rsidRDefault="00BB79F4">
      <w:pPr>
        <w:pStyle w:val="Titolo1"/>
        <w:numPr>
          <w:ilvl w:val="0"/>
          <w:numId w:val="3"/>
        </w:numPr>
        <w:rPr>
          <w:color w:val="2E74B5" w:themeColor="accent1" w:themeShade="BF"/>
        </w:rPr>
      </w:pPr>
    </w:p>
    <w:p w:rsidR="00BB79F4" w:rsidRDefault="00BB79F4">
      <w:pPr>
        <w:pStyle w:val="Titolo1"/>
        <w:numPr>
          <w:ilvl w:val="0"/>
          <w:numId w:val="3"/>
        </w:numPr>
        <w:rPr>
          <w:color w:val="2E74B5" w:themeColor="accent1" w:themeShade="BF"/>
        </w:rPr>
      </w:pPr>
    </w:p>
    <w:p w:rsidR="00BB79F4" w:rsidRDefault="00BB79F4">
      <w:pPr>
        <w:pStyle w:val="Titolo1"/>
        <w:numPr>
          <w:ilvl w:val="0"/>
          <w:numId w:val="3"/>
        </w:numPr>
        <w:rPr>
          <w:color w:val="2E74B5" w:themeColor="accent1" w:themeShade="BF"/>
        </w:rPr>
      </w:pPr>
    </w:p>
    <w:p w:rsidR="00BB79F4" w:rsidRDefault="00BB79F4">
      <w:pPr>
        <w:pStyle w:val="Titolo1"/>
        <w:numPr>
          <w:ilvl w:val="0"/>
          <w:numId w:val="3"/>
        </w:numPr>
        <w:rPr>
          <w:color w:val="2E74B5" w:themeColor="accent1" w:themeShade="BF"/>
        </w:rPr>
      </w:pPr>
    </w:p>
    <w:p w:rsidR="00BB79F4" w:rsidRDefault="002C6F79" w:rsidP="00A21D64">
      <w:pPr>
        <w:pStyle w:val="Titolo1"/>
        <w:numPr>
          <w:ilvl w:val="0"/>
          <w:numId w:val="0"/>
        </w:numPr>
        <w:rPr>
          <w:color w:val="2E74B5" w:themeColor="accent1" w:themeShade="BF"/>
        </w:rPr>
      </w:pPr>
      <w:bookmarkStart w:id="3" w:name="_Toc140066829"/>
      <w:bookmarkStart w:id="4" w:name="_Toc149211641"/>
      <w:r>
        <w:rPr>
          <w:color w:val="2E74B5" w:themeColor="accent1" w:themeShade="BF"/>
        </w:rPr>
        <w:t xml:space="preserve">2 – Gestione </w:t>
      </w:r>
      <w:bookmarkStart w:id="5" w:name="_Toc140064876"/>
      <w:bookmarkEnd w:id="3"/>
      <w:bookmarkEnd w:id="5"/>
      <w:r>
        <w:rPr>
          <w:color w:val="2E74B5" w:themeColor="accent1" w:themeShade="BF"/>
        </w:rPr>
        <w:t>dei file compressi con formati non ammessi</w:t>
      </w:r>
      <w:bookmarkEnd w:id="4"/>
      <w:r>
        <w:rPr>
          <w:color w:val="2E74B5" w:themeColor="accent1" w:themeShade="BF"/>
        </w:rPr>
        <w:t xml:space="preserve"> </w:t>
      </w:r>
    </w:p>
    <w:p w:rsidR="00BB79F4" w:rsidRDefault="002C6F79" w:rsidP="00A21D64">
      <w:pPr>
        <w:pStyle w:val="Paragrafoelenco"/>
        <w:numPr>
          <w:ilvl w:val="1"/>
          <w:numId w:val="2"/>
        </w:numPr>
        <w:jc w:val="both"/>
      </w:pPr>
      <w:r>
        <w:t>In ottemperanza a quanto stabilito dalla normativa AGID, CERT-PA-Riscontro_ADG2019-0015296 “Indicazioni per il rafforzamento delle misure di sicurezza e per la prevenzione dell’uso improprio del servizio di posta elettronica certificata (PEC)</w:t>
      </w:r>
      <w:r w:rsidR="00556253">
        <w:t>"</w:t>
      </w:r>
      <w:r>
        <w:t xml:space="preserve">, si è provveduto ad impedire il caricamento dei file compressi contenenti formati non ammessi dalla normativa sopra citata. </w:t>
      </w:r>
    </w:p>
    <w:p w:rsidR="00BB79F4" w:rsidRDefault="002C6F79" w:rsidP="00A21D64">
      <w:pPr>
        <w:pStyle w:val="Paragrafoelenco"/>
        <w:numPr>
          <w:ilvl w:val="1"/>
          <w:numId w:val="2"/>
        </w:numPr>
        <w:jc w:val="both"/>
      </w:pPr>
      <w:r>
        <w:t xml:space="preserve">Se </w:t>
      </w:r>
      <w:r w:rsidR="00556253">
        <w:t xml:space="preserve">ad esempio </w:t>
      </w:r>
      <w:r>
        <w:t>si tenta il caricamento di un file .zip contenente formati non accettati</w:t>
      </w:r>
      <w:r w:rsidR="00556253">
        <w:t xml:space="preserve"> (</w:t>
      </w:r>
      <w:r>
        <w:t>ad esempio documento.inf</w:t>
      </w:r>
      <w:r w:rsidR="00556253">
        <w:t>)</w:t>
      </w:r>
      <w:r>
        <w:t xml:space="preserve"> il sistema restituisce l’errore in figura </w:t>
      </w:r>
    </w:p>
    <w:p w:rsidR="00BB79F4" w:rsidRDefault="00A21D64" w:rsidP="006B4B6A">
      <w:pPr>
        <w:pStyle w:val="Paragrafoelenco"/>
        <w:jc w:val="center"/>
      </w:pPr>
      <w:r>
        <w:rPr>
          <w:noProof/>
          <w:lang w:eastAsia="it-IT"/>
        </w:rPr>
        <w:drawing>
          <wp:inline distT="0" distB="0" distL="0" distR="0">
            <wp:extent cx="3654000" cy="1227600"/>
            <wp:effectExtent l="0" t="0" r="3810" b="0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00" cy="12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6A" w:rsidRDefault="006B4B6A" w:rsidP="006B4B6A">
      <w:pPr>
        <w:pStyle w:val="Paragrafoelenco"/>
        <w:jc w:val="center"/>
      </w:pPr>
    </w:p>
    <w:p w:rsidR="00BB79F4" w:rsidRPr="00DA470F" w:rsidRDefault="002C6F79">
      <w:pPr>
        <w:pStyle w:val="Paragrafoelenco"/>
        <w:jc w:val="both"/>
        <w:rPr>
          <w:b/>
          <w:i/>
        </w:rPr>
      </w:pPr>
      <w:r w:rsidRPr="00DA470F">
        <w:rPr>
          <w:b/>
          <w:i/>
        </w:rPr>
        <w:t xml:space="preserve">Di seguito l’elenco dei file non ammessi da direttiva </w:t>
      </w:r>
      <w:proofErr w:type="gramStart"/>
      <w:r w:rsidRPr="00DA470F">
        <w:rPr>
          <w:b/>
          <w:i/>
        </w:rPr>
        <w:t>AGID  CERT</w:t>
      </w:r>
      <w:proofErr w:type="gramEnd"/>
      <w:r w:rsidRPr="00DA470F">
        <w:rPr>
          <w:b/>
          <w:i/>
        </w:rPr>
        <w:t>-PA-Riscontro_ADG2019-0015296</w:t>
      </w:r>
    </w:p>
    <w:tbl>
      <w:tblPr>
        <w:tblW w:w="66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5436"/>
      </w:tblGrid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ASP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ACTIVE SERVER PAGE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BAT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BATCH PROCESSING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CHM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COMPILED HTMLHELP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CLA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JAVA CLASS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CLASS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JAVA CLASS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CMD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DOS CP/M COMMAND FILE,COMMAND FILE FOR WINDOWS NT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COM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COMMAND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lastRenderedPageBreak/>
              <w:t>CPL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CONTROL PANEL EXTENSION (MICROSOFT)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CSH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CSH SCRIPT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EXE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EXECUTABLE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HLP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HELP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HPJ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PROJECT FILE USED TO CREATE WINDOWS HELP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HTA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HYPERTEXT APPLICATION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INF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INFORMATION OR SETUP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INS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IIS INTERNET COMMUNICATIONS SETTINGS (MICROSOFT)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JAR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COMPRESSED ARCHIVE FILE PACKAGE FOR JAVA CLASSES AND DATA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JS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JAVASCRIPT SOURCE CODE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JSE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JSCRIPT ENCODED SCRIPT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LNK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SHORTCUT FILE</w:t>
            </w:r>
          </w:p>
        </w:tc>
      </w:tr>
      <w:tr w:rsidR="00BB79F4" w:rsidTr="00A21D64">
        <w:trPr>
          <w:trHeight w:val="481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MSC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MICROSOFT MANAGEMENT CONSOLE SNAP-IN CONTROL FILE (MICROSOFT)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MSH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MICROSOFT 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MSH1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MICROSOFT 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MSH1XML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MICROSOFT 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MSH2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MICROSOFT 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MSH2XML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MICROSOFT 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MSHXML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MICROSOFT 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MSI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INSTALLER FILE(MICROSOFT)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MSP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INSTALLER UPDATE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OCX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ACTIVEX CONTROL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OPS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OFFICE PROFILE SETTINGS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PIF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PROGRAM INFORMATION FILE (MICROSOFT)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PL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 xml:space="preserve">PERL SCRIPT LANGUAGE SOURCE CODE 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PRF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SYSTEM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PRG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PROGRAM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PS1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POWERSHELL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PS1XML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POWERSHELL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PS2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POWERSHELL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PS2XML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POWERSHELL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PSC1</w:t>
            </w:r>
          </w:p>
        </w:tc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POWERSHELL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lastRenderedPageBreak/>
              <w:t>PSC2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POWERSHELL</w:t>
            </w:r>
          </w:p>
        </w:tc>
      </w:tr>
      <w:tr w:rsidR="00BB79F4" w:rsidTr="00A21D64">
        <w:trPr>
          <w:trHeight w:val="481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PST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MS EXCHANGE ADDRESS BOOK FILE, OUTLOOK PERSONAL FOLDER FILE (MICROSOFT)</w:t>
            </w:r>
          </w:p>
        </w:tc>
      </w:tr>
      <w:tr w:rsidR="00BB79F4" w:rsidTr="00A21D64">
        <w:trPr>
          <w:trHeight w:val="481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REG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REGISTRATION INFORMATION/KEY FOR W95/98,REGISTRY DATA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SCF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EXPLORER COMMAND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SCR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SCREEN SAVER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SCT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SCRIPT COMPONENT, FOXPRO SCREEN(MICROSOFT)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SHB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WINDOWS SHORTCUT INTO A DOCUMENT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SHS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SHELL SCRAP OBJECT FILE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TMP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TEMPORARY FILE/FOLDER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URL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INTERNET LOCATION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VB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VBSCRIPT FILE OR ANY VISUALBASIC SOURCE</w:t>
            </w:r>
          </w:p>
        </w:tc>
      </w:tr>
      <w:tr w:rsidR="00BB79F4" w:rsidTr="00A21D64">
        <w:trPr>
          <w:trHeight w:val="276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VBE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VBSCRIPT ENCODED SCRIPT FILE</w:t>
            </w:r>
          </w:p>
        </w:tc>
      </w:tr>
      <w:tr w:rsidR="00BB79F4" w:rsidTr="00A21D64">
        <w:trPr>
          <w:trHeight w:val="300"/>
          <w:jc w:val="center"/>
        </w:trPr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BB79F4" w:rsidRDefault="002C6F79">
            <w:r>
              <w:t>VBP</w:t>
            </w:r>
          </w:p>
        </w:tc>
        <w:tc>
          <w:tcPr>
            <w:tcW w:w="5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B79F4" w:rsidRDefault="002C6F79">
            <w:r>
              <w:t>VISUAL BASIC PROJECT FILE</w:t>
            </w:r>
          </w:p>
        </w:tc>
      </w:tr>
    </w:tbl>
    <w:p w:rsidR="00BB79F4" w:rsidRDefault="002C6F79">
      <w:pPr>
        <w:pStyle w:val="Titolo1"/>
        <w:numPr>
          <w:ilvl w:val="0"/>
          <w:numId w:val="3"/>
        </w:numPr>
        <w:jc w:val="both"/>
        <w:rPr>
          <w:color w:val="2E74B5" w:themeColor="accent1" w:themeShade="BF"/>
        </w:rPr>
      </w:pPr>
      <w:bookmarkStart w:id="6" w:name="_Toc149211642"/>
      <w:r>
        <w:rPr>
          <w:color w:val="2E74B5" w:themeColor="accent1" w:themeShade="BF"/>
        </w:rPr>
        <w:t>3</w:t>
      </w:r>
      <w:bookmarkStart w:id="7" w:name="_Toc1400668291"/>
      <w:r>
        <w:rPr>
          <w:color w:val="2E74B5" w:themeColor="accent1" w:themeShade="BF"/>
        </w:rPr>
        <w:t xml:space="preserve"> – Gestione </w:t>
      </w:r>
      <w:bookmarkStart w:id="8" w:name="_Toc1400648761"/>
      <w:bookmarkEnd w:id="7"/>
      <w:bookmarkEnd w:id="8"/>
      <w:r>
        <w:rPr>
          <w:color w:val="2E74B5" w:themeColor="accent1" w:themeShade="BF"/>
        </w:rPr>
        <w:t>dei messaggi di posta elettronica ordinaria</w:t>
      </w:r>
      <w:bookmarkEnd w:id="6"/>
      <w:r>
        <w:rPr>
          <w:color w:val="2E74B5" w:themeColor="accent1" w:themeShade="BF"/>
        </w:rPr>
        <w:t xml:space="preserve"> </w:t>
      </w:r>
    </w:p>
    <w:p w:rsidR="00BB79F4" w:rsidRDefault="002C6F79" w:rsidP="006B4B6A">
      <w:pPr>
        <w:pStyle w:val="Corpotesto"/>
        <w:spacing w:after="0" w:line="240" w:lineRule="auto"/>
        <w:jc w:val="both"/>
      </w:pPr>
      <w:r>
        <w:t>Con l’aggiornamento di emarche del settembre 2023, è possibile l’invio anche verso di caselle di posta elettronica ordinaria (PEO), mentre prima di settembre era possibile solo l’invio verso altre caselle di Posta Elettronica Certificata</w:t>
      </w:r>
      <w:r w:rsidR="00556253">
        <w:t xml:space="preserve"> (PEC)</w:t>
      </w:r>
      <w:r>
        <w:t>.</w:t>
      </w:r>
      <w:r w:rsidR="00556253">
        <w:t xml:space="preserve"> </w:t>
      </w:r>
      <w:r>
        <w:t xml:space="preserve"> Ovviamente nel caso di invio con successo verso una casella PEO non ci sarà nessuna ricevuta di consegna (ricevuta tipica delle PEC), e quindi lo stato della spedizione sarà: </w:t>
      </w:r>
    </w:p>
    <w:p w:rsidR="00BB79F4" w:rsidRDefault="002C6F79" w:rsidP="006B4B6A">
      <w:pPr>
        <w:pStyle w:val="Corpotesto"/>
        <w:spacing w:after="0" w:line="240" w:lineRule="auto"/>
        <w:jc w:val="both"/>
      </w:pPr>
      <w:r>
        <w:t>- messaggio non P</w:t>
      </w:r>
      <w:r w:rsidR="00DA470F">
        <w:t>EC</w:t>
      </w:r>
      <w:r>
        <w:t>, spedito accettato, non prevista consegna</w:t>
      </w:r>
    </w:p>
    <w:p w:rsidR="00BB79F4" w:rsidRDefault="002C6F79" w:rsidP="006B4B6A">
      <w:pPr>
        <w:pStyle w:val="Corpotesto"/>
        <w:spacing w:after="0" w:line="240" w:lineRule="auto"/>
        <w:jc w:val="both"/>
      </w:pPr>
      <w:r>
        <w:t xml:space="preserve">Nel caso invece di fallimento dell’invio verso PEO (e sono considerate PEO tutte le caselle non esplicitamente PEC; ad esempio la casella </w:t>
      </w:r>
      <w:hyperlink r:id="rId10">
        <w:r>
          <w:rPr>
            <w:rStyle w:val="CollegamentoInternet"/>
          </w:rPr>
          <w:t>comune.roccascoscesa@emarcche.it</w:t>
        </w:r>
      </w:hyperlink>
      <w:r>
        <w:t xml:space="preserve"> non essendo riconosciuta come PEC è considerata PEO) si ha comunque solitamente un messaggio di non consegna, che, </w:t>
      </w:r>
      <w:r>
        <w:rPr>
          <w:b/>
        </w:rPr>
        <w:t>nel caso l’invio avvenga da una casella emarche</w:t>
      </w:r>
      <w:r>
        <w:t>, viene interpretato dal sistema</w:t>
      </w:r>
      <w:r w:rsidR="00556253">
        <w:t>;</w:t>
      </w:r>
      <w:r>
        <w:t xml:space="preserve"> </w:t>
      </w:r>
      <w:r w:rsidR="00556253">
        <w:t xml:space="preserve">in questo caso </w:t>
      </w:r>
      <w:r>
        <w:t>lo stato della spedizione sarà:</w:t>
      </w:r>
    </w:p>
    <w:p w:rsidR="00BB79F4" w:rsidRDefault="002C6F79" w:rsidP="006B4B6A">
      <w:pPr>
        <w:pStyle w:val="Corpotesto"/>
        <w:spacing w:after="0" w:line="240" w:lineRule="auto"/>
        <w:jc w:val="both"/>
      </w:pPr>
      <w:r>
        <w:t>- messaggio non PEC ritornato al mittente, non consegnato.</w:t>
      </w:r>
    </w:p>
    <w:p w:rsidR="00BB79F4" w:rsidRDefault="002C6F79">
      <w:pPr>
        <w:pStyle w:val="Corpotesto"/>
        <w:jc w:val="both"/>
      </w:pPr>
      <w:r>
        <w:rPr>
          <w:b/>
        </w:rPr>
        <w:t>NOTA</w:t>
      </w:r>
      <w:r>
        <w:t>: questa elaborazione della mancata consegna di PEC è impostata per funzionare con invii da caselle emarche</w:t>
      </w:r>
      <w:r w:rsidR="00556253">
        <w:t xml:space="preserve">; </w:t>
      </w:r>
      <w:r>
        <w:t xml:space="preserve">anche </w:t>
      </w:r>
      <w:r w:rsidR="00556253">
        <w:t xml:space="preserve">nel caso di invio da caselle emarche </w:t>
      </w:r>
      <w:r>
        <w:t>può succedere che il messaggio di mancata consegna non sia elaborato automaticamente come descritto (in questo caso il messaggio è nella sezione posta in arrivo) o arrivi anche dopo qualche giorno</w:t>
      </w:r>
    </w:p>
    <w:p w:rsidR="00BB79F4" w:rsidRDefault="002C6F79" w:rsidP="006B4B6A">
      <w:pPr>
        <w:pStyle w:val="Corpotesto"/>
        <w:spacing w:after="0" w:line="240" w:lineRule="auto"/>
        <w:jc w:val="both"/>
      </w:pPr>
      <w:r>
        <w:t>Di conseguenza gli stati di spedizione dei protocolli sono stati ampliati</w:t>
      </w:r>
      <w:r w:rsidR="00556253">
        <w:t xml:space="preserve"> con l'aggiunta dei seguenti stati</w:t>
      </w:r>
      <w:r>
        <w:t xml:space="preserve">: </w:t>
      </w:r>
    </w:p>
    <w:p w:rsidR="00BB79F4" w:rsidRDefault="002C6F79" w:rsidP="006B4B6A">
      <w:pPr>
        <w:pStyle w:val="Corpotesto"/>
        <w:spacing w:after="0" w:line="240" w:lineRule="auto"/>
        <w:jc w:val="both"/>
      </w:pPr>
      <w:r>
        <w:t>-</w:t>
      </w:r>
      <w:r>
        <w:rPr>
          <w:b/>
          <w:bCs/>
        </w:rPr>
        <w:t xml:space="preserve"> semaforo azzurro</w:t>
      </w:r>
      <w:r>
        <w:t xml:space="preserve">: indica che il messaggio non </w:t>
      </w:r>
      <w:r w:rsidR="00DA470F">
        <w:t xml:space="preserve">PEC </w:t>
      </w:r>
      <w:r>
        <w:t>è stato spedito ed accettato.</w:t>
      </w:r>
    </w:p>
    <w:p w:rsidR="00BB79F4" w:rsidRDefault="002C6F79" w:rsidP="006B4B6A">
      <w:pPr>
        <w:pStyle w:val="Corpotesto"/>
        <w:spacing w:after="0" w:line="240" w:lineRule="auto"/>
        <w:jc w:val="both"/>
      </w:pPr>
      <w:r>
        <w:t xml:space="preserve">- </w:t>
      </w:r>
      <w:r>
        <w:rPr>
          <w:b/>
          <w:bCs/>
        </w:rPr>
        <w:t>semaforo viola</w:t>
      </w:r>
      <w:r>
        <w:t xml:space="preserve">: indica che il messaggio non </w:t>
      </w:r>
      <w:r w:rsidR="00DA470F">
        <w:t xml:space="preserve">PEC </w:t>
      </w:r>
      <w:r>
        <w:t>è ritornato al mittente e pertanto risulta sicuramente non consegnato.</w:t>
      </w:r>
    </w:p>
    <w:p w:rsidR="006B4B6A" w:rsidRPr="006B4B6A" w:rsidRDefault="006B4B6A" w:rsidP="006B4B6A">
      <w:pPr>
        <w:pStyle w:val="Corpotesto"/>
        <w:spacing w:after="0" w:line="240" w:lineRule="auto"/>
        <w:jc w:val="center"/>
        <w:rPr>
          <w:b/>
        </w:rPr>
      </w:pPr>
      <w:r w:rsidRPr="006B4B6A">
        <w:rPr>
          <w:b/>
        </w:rPr>
        <w:t>TABELLA CON GLI STATI POSSIBILI</w:t>
      </w:r>
    </w:p>
    <w:p w:rsidR="006B4B6A" w:rsidRDefault="002C6F79" w:rsidP="006B4B6A">
      <w:pPr>
        <w:pStyle w:val="Corpotesto"/>
        <w:jc w:val="center"/>
      </w:pPr>
      <w:r>
        <w:rPr>
          <w:noProof/>
          <w:lang w:eastAsia="it-IT"/>
        </w:rPr>
        <w:drawing>
          <wp:inline distT="0" distB="0" distL="0" distR="0">
            <wp:extent cx="3078000" cy="1382400"/>
            <wp:effectExtent l="0" t="0" r="8255" b="8255"/>
            <wp:docPr id="5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B6A">
        <w:br w:type="page"/>
      </w:r>
    </w:p>
    <w:p w:rsidR="00BB79F4" w:rsidRPr="00DA470F" w:rsidRDefault="00BB79F4" w:rsidP="006B4B6A">
      <w:pPr>
        <w:pStyle w:val="Corpotesto"/>
        <w:jc w:val="center"/>
        <w:rPr>
          <w:b/>
          <w:i/>
        </w:rPr>
      </w:pPr>
    </w:p>
    <w:p w:rsidR="00BB79F4" w:rsidRDefault="002C6F79">
      <w:pPr>
        <w:pStyle w:val="Corpotesto"/>
        <w:jc w:val="both"/>
      </w:pPr>
      <w:r>
        <w:t xml:space="preserve">In </w:t>
      </w:r>
      <w:proofErr w:type="gramStart"/>
      <w:r>
        <w:t>caso  di</w:t>
      </w:r>
      <w:proofErr w:type="gramEnd"/>
      <w:r>
        <w:t xml:space="preserve"> semaforo viola</w:t>
      </w:r>
      <w:r w:rsidR="00556253">
        <w:t xml:space="preserve"> (</w:t>
      </w:r>
      <w:r>
        <w:t>mancato invio ad una P</w:t>
      </w:r>
      <w:r w:rsidR="00DA470F">
        <w:t>EO</w:t>
      </w:r>
      <w:r w:rsidR="00556253">
        <w:t>)</w:t>
      </w:r>
      <w:r>
        <w:t xml:space="preserve">, si ha la stessa situazione </w:t>
      </w:r>
      <w:r w:rsidR="00556253">
        <w:t xml:space="preserve">che si presenta con il </w:t>
      </w:r>
      <w:r>
        <w:t xml:space="preserve">semaforo rosso </w:t>
      </w:r>
      <w:r w:rsidR="00556253">
        <w:t xml:space="preserve">(che riguarda le </w:t>
      </w:r>
      <w:r>
        <w:t>PEC</w:t>
      </w:r>
      <w:r w:rsidR="00556253">
        <w:t xml:space="preserve">), ed è quindi </w:t>
      </w:r>
      <w:r>
        <w:t>possibile procedere alla modifica del destinatario, cliccando sul</w:t>
      </w:r>
      <w:r w:rsidR="00556253">
        <w:t>l</w:t>
      </w:r>
      <w:r>
        <w:t xml:space="preserve">’icona </w:t>
      </w:r>
      <w:r>
        <w:rPr>
          <w:b/>
          <w:bCs/>
        </w:rPr>
        <w:t>“</w:t>
      </w:r>
      <w:r w:rsidR="00556253">
        <w:rPr>
          <w:b/>
          <w:bCs/>
        </w:rPr>
        <w:t>i</w:t>
      </w:r>
      <w:r>
        <w:rPr>
          <w:b/>
          <w:bCs/>
        </w:rPr>
        <w:t>”</w:t>
      </w:r>
      <w:r>
        <w:t xml:space="preserve"> </w:t>
      </w:r>
      <w:r w:rsidR="00556253">
        <w:t>alla sua destra</w:t>
      </w:r>
      <w:r w:rsidR="00BA6346">
        <w:t>; nella finestra che</w:t>
      </w:r>
      <w:r>
        <w:t xml:space="preserve"> si apre </w:t>
      </w:r>
      <w:r w:rsidR="00BA6346">
        <w:t xml:space="preserve">si hanno </w:t>
      </w:r>
      <w:r>
        <w:t xml:space="preserve">i dettagli </w:t>
      </w:r>
      <w:r w:rsidR="00556253">
        <w:t xml:space="preserve">del destinatario, </w:t>
      </w:r>
      <w:r w:rsidR="00BA6346">
        <w:t xml:space="preserve">e qui è </w:t>
      </w:r>
      <w:r>
        <w:t>possibile aggiornare il campo e-mail con l’indirizzo corretto</w:t>
      </w:r>
      <w:r w:rsidR="00BA6346">
        <w:t xml:space="preserve">, per poi </w:t>
      </w:r>
      <w:r>
        <w:t xml:space="preserve">procedere ad un nuovo invio (il tasto “spedisci” ritorna attivo).  </w:t>
      </w:r>
    </w:p>
    <w:p w:rsidR="00BB79F4" w:rsidRDefault="00A21D64" w:rsidP="006B4B6A">
      <w:pPr>
        <w:pStyle w:val="Corpotesto"/>
        <w:jc w:val="center"/>
      </w:pPr>
      <w:r>
        <w:rPr>
          <w:noProof/>
          <w:lang w:eastAsia="it-IT"/>
        </w:rPr>
        <w:drawing>
          <wp:inline distT="0" distB="0" distL="0" distR="0">
            <wp:extent cx="3858895" cy="3817733"/>
            <wp:effectExtent l="0" t="0" r="8255" b="0"/>
            <wp:docPr id="6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2" cy="382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9F4" w:rsidRDefault="002C6F79">
      <w:pPr>
        <w:pStyle w:val="Corpotesto"/>
        <w:jc w:val="both"/>
      </w:pPr>
      <w:r>
        <w:rPr>
          <w:b/>
        </w:rPr>
        <w:t>NOTA</w:t>
      </w:r>
      <w:r>
        <w:t>: È possibile modificare l'indirizzo email solo in caso di messaggio non inviato (stato/semaforo bianco) o non spedito, non accettato o non consegnato (stato/semaforo rosso o viola).  In tutti gli altri casi non è possibile modificare l'indirizzo email.  La certezza di consegna si ha soltanto con l'invio delle PEC e stato/semaforo Verde.  Nel caso di invio di PEO si ha l'informazione di invio avvenuto senza errori nella consegna al momento della consultazione dello stato (semaforo celeste); se ci sono errori nella consegna e sono gestiti con gli automatismi (che funzionano per la maggior parte dei casi previsti, come descritto sopra) il semaforo diventa viola</w:t>
      </w:r>
      <w:r w:rsidR="00BA6346">
        <w:t xml:space="preserve"> e solo da questo momento è possibile modificare </w:t>
      </w:r>
      <w:r w:rsidR="001069D2">
        <w:t>l'indirizzo email</w:t>
      </w:r>
      <w:r>
        <w:t xml:space="preserve">. </w:t>
      </w:r>
    </w:p>
    <w:p w:rsidR="00BB79F4" w:rsidRDefault="002C6F79">
      <w:pPr>
        <w:pStyle w:val="Titolo1"/>
        <w:rPr>
          <w:color w:val="2E74B5" w:themeColor="accent1" w:themeShade="BF"/>
        </w:rPr>
      </w:pPr>
      <w:bookmarkStart w:id="9" w:name="_Toc149211643"/>
      <w:r>
        <w:rPr>
          <w:color w:val="2E74B5" w:themeColor="accent1" w:themeShade="BF"/>
        </w:rPr>
        <w:t>4</w:t>
      </w:r>
      <w:bookmarkStart w:id="10" w:name="_Toc14006682911"/>
      <w:r>
        <w:rPr>
          <w:color w:val="2E74B5" w:themeColor="accent1" w:themeShade="BF"/>
        </w:rPr>
        <w:t xml:space="preserve"> – </w:t>
      </w:r>
      <w:bookmarkEnd w:id="10"/>
      <w:r>
        <w:rPr>
          <w:color w:val="2E74B5" w:themeColor="accent1" w:themeShade="BF"/>
        </w:rPr>
        <w:t>Report delle comunicazioni da assegnare</w:t>
      </w:r>
      <w:bookmarkEnd w:id="9"/>
      <w:r>
        <w:rPr>
          <w:color w:val="2E74B5" w:themeColor="accent1" w:themeShade="BF"/>
        </w:rPr>
        <w:t xml:space="preserve"> </w:t>
      </w:r>
    </w:p>
    <w:p w:rsidR="00BB79F4" w:rsidRDefault="002C6F79">
      <w:pPr>
        <w:pStyle w:val="Corpotesto"/>
        <w:jc w:val="both"/>
      </w:pPr>
      <w:proofErr w:type="gramStart"/>
      <w:r>
        <w:t>E’</w:t>
      </w:r>
      <w:proofErr w:type="gramEnd"/>
      <w:r>
        <w:t xml:space="preserve"> stata introdotta la possibilità di generare un report che contenga le informazioni presenti nella finestra “Da Assegnare”.</w:t>
      </w:r>
      <w:r w:rsidR="001069D2">
        <w:t xml:space="preserve">  </w:t>
      </w:r>
      <w:r>
        <w:t xml:space="preserve">Accedendo dal </w:t>
      </w:r>
      <w:proofErr w:type="spellStart"/>
      <w:r>
        <w:t>menù</w:t>
      </w:r>
      <w:proofErr w:type="spellEnd"/>
      <w:r>
        <w:t xml:space="preserve"> principale alla voce Report, è possibile selezionare la voce “Comunicazioni da assegnare” </w:t>
      </w:r>
    </w:p>
    <w:p w:rsidR="00793C6D" w:rsidRDefault="00793C6D" w:rsidP="00793C6D">
      <w:pPr>
        <w:pStyle w:val="Corpotesto"/>
        <w:jc w:val="both"/>
      </w:pPr>
      <w:r>
        <w:t xml:space="preserve">               </w:t>
      </w:r>
      <w:r w:rsidR="002C6F79">
        <w:rPr>
          <w:noProof/>
          <w:lang w:eastAsia="it-IT"/>
        </w:rPr>
        <w:drawing>
          <wp:inline distT="0" distB="0" distL="0" distR="0">
            <wp:extent cx="1062000" cy="2070000"/>
            <wp:effectExtent l="0" t="0" r="5080" b="6985"/>
            <wp:docPr id="7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B79F4" w:rsidRDefault="00A21D64">
      <w:pPr>
        <w:pStyle w:val="Corpotesto"/>
        <w:jc w:val="both"/>
      </w:pPr>
      <w:r>
        <w:rPr>
          <w:noProof/>
          <w:lang w:eastAsia="it-IT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700405</wp:posOffset>
            </wp:positionV>
            <wp:extent cx="6071235" cy="1506855"/>
            <wp:effectExtent l="0" t="0" r="5715" b="0"/>
            <wp:wrapSquare wrapText="largest"/>
            <wp:docPr id="8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F79">
        <w:t xml:space="preserve">In questo modo si apre la seguente finestra da cui è possibile selezionare la data a partire dalla quale si vuole generare il report. Inoltre è possibile scegliere il formato del report, se .PDF o Excel, attraverso l’apposito bottone in basso a sinistra </w:t>
      </w:r>
    </w:p>
    <w:p w:rsidR="00BB79F4" w:rsidRDefault="00A21D64">
      <w:pPr>
        <w:pStyle w:val="Corpotesto"/>
        <w:jc w:val="both"/>
      </w:pPr>
      <w:r>
        <w:rPr>
          <w:noProof/>
          <w:lang w:eastAsia="it-IT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842010</wp:posOffset>
            </wp:positionV>
            <wp:extent cx="6122035" cy="3108960"/>
            <wp:effectExtent l="0" t="0" r="0" b="0"/>
            <wp:wrapSquare wrapText="largest"/>
            <wp:docPr id="9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F79">
        <w:t>Il report generato contiene le stesse informazioni presente nella finestra “Da assegnare”; in esso sono presenti i protocolli in ingresso registrati dalla struttura e i documenti/protocolli trasmessi che non sono ancora stati assegnati all’interno della struttura stessa o trasmessi da un’altra struttura con ragione di inoltro a ruolo o visione a ruolo.</w:t>
      </w:r>
    </w:p>
    <w:p w:rsidR="00BB79F4" w:rsidRDefault="00BB79F4">
      <w:pPr>
        <w:pStyle w:val="Corpotesto"/>
        <w:jc w:val="both"/>
      </w:pPr>
    </w:p>
    <w:p w:rsidR="00BB79F4" w:rsidRDefault="002C6F79" w:rsidP="00A21D64">
      <w:pPr>
        <w:pStyle w:val="Titolo1"/>
        <w:numPr>
          <w:ilvl w:val="0"/>
          <w:numId w:val="0"/>
        </w:numPr>
        <w:spacing w:before="0" w:after="140"/>
        <w:jc w:val="both"/>
        <w:rPr>
          <w:color w:val="2E74B5" w:themeColor="accent1" w:themeShade="BF"/>
        </w:rPr>
      </w:pPr>
      <w:bookmarkStart w:id="11" w:name="_Toc149211644"/>
      <w:r>
        <w:rPr>
          <w:color w:val="2E74B5" w:themeColor="accent1" w:themeShade="BF"/>
        </w:rPr>
        <w:t>5</w:t>
      </w:r>
      <w:bookmarkStart w:id="12" w:name="_Toc1400668291111"/>
      <w:r>
        <w:rPr>
          <w:color w:val="2E74B5" w:themeColor="accent1" w:themeShade="BF"/>
        </w:rPr>
        <w:t xml:space="preserve"> – </w:t>
      </w:r>
      <w:bookmarkEnd w:id="12"/>
      <w:r>
        <w:rPr>
          <w:color w:val="2E74B5" w:themeColor="accent1" w:themeShade="BF"/>
        </w:rPr>
        <w:t xml:space="preserve">Indirizzo e mail- </w:t>
      </w:r>
      <w:proofErr w:type="spellStart"/>
      <w:r>
        <w:rPr>
          <w:color w:val="2E74B5" w:themeColor="accent1" w:themeShade="BF"/>
        </w:rPr>
        <w:t>Pec</w:t>
      </w:r>
      <w:proofErr w:type="spellEnd"/>
      <w:r>
        <w:rPr>
          <w:color w:val="2E74B5" w:themeColor="accent1" w:themeShade="BF"/>
        </w:rPr>
        <w:t xml:space="preserve"> nei criteri di ricerca di un protocollo</w:t>
      </w:r>
      <w:bookmarkEnd w:id="11"/>
      <w:r>
        <w:rPr>
          <w:color w:val="2E74B5" w:themeColor="accent1" w:themeShade="BF"/>
        </w:rPr>
        <w:t xml:space="preserve"> </w:t>
      </w:r>
    </w:p>
    <w:p w:rsidR="00BB79F4" w:rsidRDefault="002C6F79">
      <w:pPr>
        <w:pStyle w:val="Corpotesto"/>
        <w:jc w:val="both"/>
      </w:pPr>
      <w:r>
        <w:t xml:space="preserve">Nel campo ricerche è ora possibile inserire anche l’indirizzo email associato ad un mittente/destinatario. </w:t>
      </w:r>
    </w:p>
    <w:p w:rsidR="00BB79F4" w:rsidRDefault="002C6F79">
      <w:pPr>
        <w:pStyle w:val="Corpotesto"/>
        <w:jc w:val="both"/>
      </w:pPr>
      <w:r>
        <w:rPr>
          <w:noProof/>
          <w:lang w:eastAsia="it-IT"/>
        </w:rPr>
        <w:drawing>
          <wp:inline distT="0" distB="0" distL="0" distR="0">
            <wp:extent cx="3660849" cy="2162175"/>
            <wp:effectExtent l="0" t="0" r="0" b="0"/>
            <wp:docPr id="10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337" cy="217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C6D" w:rsidRDefault="00793C6D">
      <w:pPr>
        <w:spacing w:after="0" w:line="240" w:lineRule="auto"/>
        <w:rPr>
          <w:b/>
          <w:bCs/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</w:rPr>
        <w:br w:type="page"/>
      </w:r>
    </w:p>
    <w:p w:rsidR="00BB79F4" w:rsidRDefault="002C6F79">
      <w:pPr>
        <w:pStyle w:val="Titolo1"/>
        <w:numPr>
          <w:ilvl w:val="0"/>
          <w:numId w:val="3"/>
        </w:numPr>
        <w:spacing w:before="0" w:after="140"/>
        <w:jc w:val="both"/>
        <w:rPr>
          <w:color w:val="2E74B5" w:themeColor="accent1" w:themeShade="BF"/>
        </w:rPr>
      </w:pPr>
      <w:bookmarkStart w:id="13" w:name="_Toc149211645"/>
      <w:r>
        <w:rPr>
          <w:color w:val="2E74B5" w:themeColor="accent1" w:themeShade="BF"/>
        </w:rPr>
        <w:lastRenderedPageBreak/>
        <w:t>6 – Aggiornamento strumento per la 'Gestione Abilitazione utenti UO'</w:t>
      </w:r>
      <w:bookmarkEnd w:id="13"/>
    </w:p>
    <w:p w:rsidR="00BB79F4" w:rsidRDefault="002C6F79">
      <w:pPr>
        <w:pStyle w:val="Corpotesto"/>
        <w:jc w:val="both"/>
      </w:pPr>
      <w:r>
        <w:t xml:space="preserve">Usato lo strumento </w:t>
      </w:r>
      <w:r w:rsidR="001069D2">
        <w:t xml:space="preserve">di </w:t>
      </w:r>
      <w:r w:rsidR="001069D2" w:rsidRPr="001069D2">
        <w:t>'Gestione Abilitazione utenti UO</w:t>
      </w:r>
      <w:r w:rsidR="001069D2">
        <w:t>' (dagli utenti abilitati a farlo)</w:t>
      </w:r>
      <w:r w:rsidR="001069D2" w:rsidRPr="001069D2">
        <w:t xml:space="preserve"> </w:t>
      </w:r>
      <w:r>
        <w:t xml:space="preserve">è necessario riattivare la cache selezionando il pulsante </w:t>
      </w:r>
      <w:r w:rsidR="001069D2">
        <w:t xml:space="preserve">'Ricarica cache' </w:t>
      </w:r>
      <w:r>
        <w:t>aggiunto in fondo alla pagina</w:t>
      </w:r>
    </w:p>
    <w:p w:rsidR="00BB79F4" w:rsidRDefault="002C6F79">
      <w:pPr>
        <w:pStyle w:val="Corpotesto"/>
        <w:jc w:val="both"/>
      </w:pPr>
      <w:r>
        <w:rPr>
          <w:noProof/>
          <w:lang w:eastAsia="it-IT"/>
        </w:rPr>
        <w:drawing>
          <wp:inline distT="0" distB="0" distL="0" distR="0">
            <wp:extent cx="6120130" cy="2590165"/>
            <wp:effectExtent l="0" t="0" r="0" b="0"/>
            <wp:docPr id="11" name="Immagine 11" descr="E:\Utenti\andrea_pacetti\AppData\Local\Microsoft\Windows\INetCache\Content.MSO\D473E4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E:\Utenti\andrea_pacetti\AppData\Local\Microsoft\Windows\INetCache\Content.MSO\D473E416.tm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9F4" w:rsidRDefault="00BB79F4" w:rsidP="00A21D64">
      <w:pPr>
        <w:spacing w:after="0" w:line="240" w:lineRule="auto"/>
      </w:pPr>
    </w:p>
    <w:sectPr w:rsidR="00BB79F4" w:rsidSect="002C6F79">
      <w:pgSz w:w="11906" w:h="16838"/>
      <w:pgMar w:top="56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F36"/>
    <w:multiLevelType w:val="multilevel"/>
    <w:tmpl w:val="5C7A30B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BB1071"/>
    <w:multiLevelType w:val="multilevel"/>
    <w:tmpl w:val="EF7622FE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2" w15:restartNumberingAfterBreak="0">
    <w:nsid w:val="422012CA"/>
    <w:multiLevelType w:val="multilevel"/>
    <w:tmpl w:val="E1342A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2EE5B3E"/>
    <w:multiLevelType w:val="multilevel"/>
    <w:tmpl w:val="67301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F4"/>
    <w:rsid w:val="00010AFB"/>
    <w:rsid w:val="001069D2"/>
    <w:rsid w:val="002C6F79"/>
    <w:rsid w:val="00556253"/>
    <w:rsid w:val="005F1936"/>
    <w:rsid w:val="006B4B6A"/>
    <w:rsid w:val="00793C6D"/>
    <w:rsid w:val="00A21D64"/>
    <w:rsid w:val="00B52F99"/>
    <w:rsid w:val="00BA6346"/>
    <w:rsid w:val="00BB79F4"/>
    <w:rsid w:val="00D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CD57"/>
  <w15:docId w15:val="{A8E751D4-11A0-4249-8911-78D0BA72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21D"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Corpotesto"/>
    <w:link w:val="Titolo1Carattere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Corpotesto"/>
    <w:link w:val="Titolo3Caratter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character" w:customStyle="1" w:styleId="CorpotestoCarattere">
    <w:name w:val="Corpo testo Carattere"/>
    <w:basedOn w:val="Carpredefinitoparagrafo"/>
    <w:link w:val="Corpotesto"/>
    <w:qFormat/>
    <w:rsid w:val="004E58A4"/>
    <w:rPr>
      <w:sz w:val="22"/>
    </w:rPr>
  </w:style>
  <w:style w:type="character" w:customStyle="1" w:styleId="Titolo1Carattere">
    <w:name w:val="Titolo 1 Carattere"/>
    <w:basedOn w:val="Carpredefinitoparagrafo"/>
    <w:link w:val="Titolo1"/>
    <w:qFormat/>
    <w:rsid w:val="004E58A4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qFormat/>
    <w:rsid w:val="004E58A4"/>
    <w:rPr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536"/>
    <w:rPr>
      <w:rFonts w:ascii="Tahoma" w:hAnsi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51400"/>
    <w:rPr>
      <w:color w:val="0563C1" w:themeColor="hyperlink"/>
      <w:u w:val="single"/>
    </w:rPr>
  </w:style>
  <w:style w:type="character" w:customStyle="1" w:styleId="Saltoaindice">
    <w:name w:val="Salto a indice"/>
    <w:qFormat/>
  </w:style>
  <w:style w:type="paragraph" w:styleId="Titolo">
    <w:name w:val="Title"/>
    <w:basedOn w:val="Normale"/>
    <w:next w:val="Corpotesto"/>
    <w:qFormat/>
    <w:pPr>
      <w:jc w:val="center"/>
    </w:pPr>
    <w:rPr>
      <w:b/>
      <w:bCs/>
      <w:sz w:val="56"/>
      <w:szCs w:val="56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Sottotitolo">
    <w:name w:val="Subtitle"/>
    <w:basedOn w:val="Normale"/>
    <w:next w:val="Corpotesto"/>
    <w:qFormat/>
    <w:pPr>
      <w:spacing w:before="60" w:after="120"/>
      <w:jc w:val="center"/>
    </w:pPr>
    <w:rPr>
      <w:sz w:val="36"/>
      <w:szCs w:val="36"/>
    </w:rPr>
  </w:style>
  <w:style w:type="paragraph" w:customStyle="1" w:styleId="Default">
    <w:name w:val="Default"/>
    <w:qFormat/>
    <w:pPr>
      <w:spacing w:line="259" w:lineRule="auto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9168F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536"/>
    <w:pPr>
      <w:spacing w:after="0" w:line="240" w:lineRule="auto"/>
    </w:pPr>
    <w:rPr>
      <w:rFonts w:ascii="Tahoma" w:hAnsi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51400"/>
    <w:pPr>
      <w:keepNext/>
      <w:keepLines/>
      <w:numPr>
        <w:numId w:val="0"/>
      </w:numPr>
      <w:suppressAutoHyphens w:val="0"/>
      <w:spacing w:before="480" w:after="0" w:line="27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140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4A3"/>
    <w:pPr>
      <w:spacing w:after="100"/>
      <w:ind w:left="220"/>
    </w:pPr>
  </w:style>
  <w:style w:type="paragraph" w:styleId="Titoloindice">
    <w:name w:val="index heading"/>
    <w:basedOn w:val="Titolo"/>
    <w:pPr>
      <w:suppressLineNumbers/>
    </w:pPr>
    <w:rPr>
      <w:sz w:val="32"/>
      <w:szCs w:val="32"/>
    </w:rPr>
  </w:style>
  <w:style w:type="paragraph" w:styleId="Titoloindicefonti">
    <w:name w:val="toa heading"/>
    <w:basedOn w:val="Titoloindice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52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mailto:comune.roccascoscesa@emarc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6B57-485A-48DD-AD27-A006D84F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Sellani</dc:creator>
  <dc:description/>
  <cp:lastModifiedBy>Andrea Pacetti</cp:lastModifiedBy>
  <cp:revision>8</cp:revision>
  <cp:lastPrinted>2023-10-26T07:12:00Z</cp:lastPrinted>
  <dcterms:created xsi:type="dcterms:W3CDTF">2023-10-25T11:44:00Z</dcterms:created>
  <dcterms:modified xsi:type="dcterms:W3CDTF">2023-10-26T09:20:00Z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